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A0" w:rsidRDefault="008112A0" w:rsidP="00F15BC9">
      <w:pPr>
        <w:pStyle w:val="Nincstrkz"/>
        <w:jc w:val="center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</w:p>
    <w:p w:rsidR="008112A0" w:rsidRDefault="008112A0" w:rsidP="00F15BC9">
      <w:pPr>
        <w:pStyle w:val="Nincstrkz"/>
        <w:jc w:val="center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60720" cy="2351421"/>
            <wp:effectExtent l="0" t="0" r="0" b="0"/>
            <wp:docPr id="3" name="Kép 3" descr="Fizetési moratórium: nem nőnek a jövőre a törlesztőrészletek | Forbes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Fizetési moratórium: nem nőnek a jövőre a törlesztőrészletek | Forbes.h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A0" w:rsidRDefault="008112A0" w:rsidP="00F15BC9">
      <w:pPr>
        <w:pStyle w:val="Nincstrkz"/>
        <w:jc w:val="center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</w:p>
    <w:p w:rsidR="00D45EC9" w:rsidRPr="00F15BC9" w:rsidRDefault="00D45EC9" w:rsidP="00F15BC9">
      <w:pPr>
        <w:pStyle w:val="Nincstrkz"/>
        <w:jc w:val="center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  <w:r w:rsidRPr="00F15BC9"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  <w:t>Tisztelt Ügyfelünk!</w:t>
      </w:r>
    </w:p>
    <w:p w:rsidR="00D45EC9" w:rsidRPr="00F15BC9" w:rsidRDefault="00D45EC9" w:rsidP="00F15BC9">
      <w:pPr>
        <w:pStyle w:val="Nincstrkz"/>
        <w:jc w:val="center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</w:p>
    <w:p w:rsidR="00D45EC9" w:rsidRPr="00F15BC9" w:rsidRDefault="00D45EC9" w:rsidP="00F15BC9">
      <w:pPr>
        <w:pStyle w:val="Nincstrkz"/>
        <w:jc w:val="both"/>
        <w:rPr>
          <w:rFonts w:ascii="Cambria" w:hAnsi="Cambria"/>
          <w:b/>
          <w:color w:val="2E74B5" w:themeColor="accent1" w:themeShade="BF"/>
          <w:sz w:val="28"/>
          <w:szCs w:val="28"/>
          <w:lang w:eastAsia="hu-HU"/>
        </w:rPr>
      </w:pPr>
      <w:r w:rsidRPr="00F15BC9">
        <w:rPr>
          <w:rFonts w:ascii="Cambria" w:hAnsi="Cambria"/>
          <w:b/>
          <w:color w:val="2E74B5" w:themeColor="accent1" w:themeShade="BF"/>
          <w:sz w:val="28"/>
          <w:szCs w:val="28"/>
          <w:lang w:eastAsia="hu-HU"/>
        </w:rPr>
        <w:t>Összefoglaljuk Önnek a 2021. szeptember 16-án hatályba lépett rendelkezéseket a Fizetési Moratóriummal kapcsolatosan:</w:t>
      </w:r>
    </w:p>
    <w:p w:rsidR="00D45EC9" w:rsidRPr="00F15BC9" w:rsidRDefault="00D45E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</w:p>
    <w:p w:rsidR="00D45EC9" w:rsidRPr="00F15BC9" w:rsidRDefault="00D45E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 xml:space="preserve">Az egyes kiemelt társadalmi csoportok, valamint pénzügyi nehézséggel küzdő vállalkozások helyzetének stabilizálását szolgáló átmeneti intézkedésekről szóló 2020. évi CVII. törvény (a továbbiakban: Törvény) 7. §-a alapján 2021. január 1-jétől fizetési haladék (a továbbiakban: Fizetési Moratórium) lépett életbe, azaz az ügyfél a szerződésből eredő tőke-, kamat-, illetve díjfizetési kötelezettsége teljesítésére 2022. június 30. napjáig fizetési haladékot kap. </w:t>
      </w:r>
    </w:p>
    <w:p w:rsidR="00D45EC9" w:rsidRPr="00F15BC9" w:rsidRDefault="00D45E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azonban nem érinti az Ügyfél azon jogát, hogy az eredeti szerződési feltételek szerint teljesítsen.</w:t>
      </w:r>
    </w:p>
    <w:p w:rsidR="00D45EC9" w:rsidRPr="00F15BC9" w:rsidRDefault="00D45E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kapcsolódó gyakorlati információk az alábbi pontokban összefoglalva olvashatók:</w:t>
      </w:r>
    </w:p>
    <w:p w:rsidR="00D45EC9" w:rsidRPr="00F15BC9" w:rsidRDefault="00D45E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</w:p>
    <w:p w:rsidR="00D45EC9" w:rsidRPr="00F15BC9" w:rsidRDefault="00F15BC9" w:rsidP="00F15BC9">
      <w:pPr>
        <w:pStyle w:val="Nincstrkz"/>
        <w:jc w:val="both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  <w:r w:rsidRPr="00F15BC9"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  <w:t xml:space="preserve">A </w:t>
      </w:r>
      <w:r w:rsidR="00D45EC9" w:rsidRPr="00F15BC9"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  <w:t>JOGOSULTAK KÖRE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Moratóriumot a 2020. március 18. napján huszonnégy órakor még fennálló (élő) szerződésekre kell alkalmazni;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hivatkozott időpontban már felmondott hitelszerződésekből eredő tartozásokra nem vonatkozik a Fizetési Moratórium, tehát változatlanul szükséges az abból eredő fizetési kötelezettség teljesítése;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2021. október 31. napjáig automatikusan megilleti mindazon Ügyfeleket, akik 2021. szeptember hónapban éltek a Fizetési Moratóriummal;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lastRenderedPageBreak/>
        <w:t>2021. november 1-jétől kizárólag a nyugdíjasok, gyermeket nevelők, munkanélküliek, közfoglalkoztatottak, valamint azok élhetnek a Fizetési Moratóriummal, akiknek a háztartásában a jövedelem tartósan csökkent, amennyiben a részvételi szándékukról, valamint a jogosultság fennállásáról nyilatkoznak;</w:t>
      </w:r>
    </w:p>
    <w:p w:rsidR="00F15BC9" w:rsidRDefault="00F15BC9" w:rsidP="00F15BC9">
      <w:pPr>
        <w:pStyle w:val="Nincstrkz"/>
        <w:jc w:val="both"/>
        <w:rPr>
          <w:rFonts w:ascii="Cambria" w:hAnsi="Cambria"/>
          <w:b/>
          <w:sz w:val="28"/>
          <w:szCs w:val="28"/>
          <w:lang w:eastAsia="hu-HU"/>
        </w:rPr>
      </w:pPr>
    </w:p>
    <w:p w:rsidR="00D45EC9" w:rsidRPr="00F15BC9" w:rsidRDefault="00D45EC9" w:rsidP="00F15BC9">
      <w:pPr>
        <w:pStyle w:val="Nincstrkz"/>
        <w:jc w:val="both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  <w:r w:rsidRPr="00F15BC9"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  <w:t>A KÉRELEM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kérelmét  legkorábban 2021. október 01-től ,  legkésőbb 2021. október 31-éig nyújthatja be Társaságunkhoz;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  benyújtási határidő  jogvesztő, ami azt jelenti, hogy a határidő lejártát követően Társaságunkhoz beérkezett kérelmek alapján a Moratórium hosszabbításában már nem vehet részt;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benyújtás kapcsán vegye figyelembe, hogy a kérelemnek legkésőbb a határidő utolsó napján be kell érkeznie Társaságunkhoz, nem elegendő annak postára adása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kérelmet külön jogszabályban meghatározott formában fogadjuk el (a hiteltörlesztési Moratórium igénybevételéhez alkalmazandó kérelemről szóló 6/2021. (IX. 15.) MK rendelet 2. sz. melléklete ill. honlapunkról letölthető )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igénybe vétele nem kötelező, azaz Ön a Moratórium ideje alatt bármikor dönthet úgy, hogy tovább fizeti a hitelét, a Fizetési Moratórium nem érinti az ügyfél azon jogát, hogy az eredeti szerződési feltételek szerint teljesítsen.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amennyiben 2021. november 1-jétől él a Fizetési Moratóriummal, azonban a későbbiekben úgy dönt, hogy a jövőre nézve nem kívánja azt igénybe venni, kilépési szándékát erre irányuló kifejezett nyilatkozattal teheti meg. A kilépésről szóló nyilatkozatban fel kell tüntetnie az Ön, illetve a hitelügylet beazonosításához szükséges adatokat, illetve a Moratóriumból való kilépésre irányuló kifejezett nyilatkozatot. Felhívjuk szíves figyelmét, hogy a Moratóriumból való kilépés nem vonható vissza, azaz a kilépés esetén nincs mód a Moratórium újbóli igénybe vételére;</w:t>
      </w:r>
    </w:p>
    <w:p w:rsidR="00D45EC9" w:rsidRPr="00F15BC9" w:rsidRDefault="00D45EC9" w:rsidP="00F15BC9">
      <w:pPr>
        <w:pStyle w:val="Nincstrkz"/>
        <w:numPr>
          <w:ilvl w:val="0"/>
          <w:numId w:val="6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amennyiben a Moratórium adta lehetőséggel nem kíván élni és erre vonatkozó jognyilatkozatot tesz, azt kizárólag a kölcsönszerződés szerinti Ügyfél (ideértve Ügyféltársat is) teheti meg. Bármelyikük nyilatkozik, az érvényes lesz az érintett kölcsönszerződés esetén, tekintettel az egyetemleges Fizetési kötelezettségükre;</w:t>
      </w:r>
    </w:p>
    <w:p w:rsidR="00F15BC9" w:rsidRDefault="00F15B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</w:p>
    <w:p w:rsidR="00D45EC9" w:rsidRPr="00F15BC9" w:rsidRDefault="00D45EC9" w:rsidP="00F15BC9">
      <w:pPr>
        <w:pStyle w:val="Nincstrkz"/>
        <w:jc w:val="both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  <w:r w:rsidRPr="00F15BC9"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  <w:t>A FIZETÉSI MORATÓRIUM TARTALMA</w:t>
      </w:r>
    </w:p>
    <w:p w:rsidR="00F15BC9" w:rsidRPr="00F15BC9" w:rsidRDefault="00F15BC9" w:rsidP="00F15BC9">
      <w:pPr>
        <w:pStyle w:val="Nincstrkz"/>
        <w:jc w:val="both"/>
        <w:rPr>
          <w:rFonts w:ascii="Cambria" w:hAnsi="Cambria"/>
          <w:b/>
          <w:color w:val="2E74B5" w:themeColor="accent1" w:themeShade="BF"/>
          <w:sz w:val="28"/>
          <w:szCs w:val="28"/>
          <w:lang w:eastAsia="hu-HU"/>
        </w:rPr>
      </w:pP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lastRenderedPageBreak/>
        <w:t>a Fizetési Moratórium alatt tőke-, kamat-, díjfizetési kötelezettsége nincs az ügyfélnek, ezek megfizetése elhalasztásra kerül a Moratórium utáni időszakra;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lejártát követően szerződése - amennyiben 2020. március 19-e és 2020. december 31-e között érvényben lévő Fizetési Moratórium igénybe vétele következtében szerződése 2021. január 1. napján módosult, az ekként módosult szerződése - 2021. november 1-jével, illetve amennyiben a továbbiakban is igénybe veszi  a Fizetési Moratóriumot, 2022. július 1. napjával a törvény erejénél fogva módosul;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Moratórium időszaka alatt meg nem fizetett kamatok és díjak sem a Moratórium alatt, sem pedig a Moratórium lejáratával nem kerülnek tőkésítésre és így azok nem kamatoznak;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alatt meg nem fizetett tőke-, kamat- és díjtételeket a Moratóriumot követően kell megfizetni oly módon, hogy a Moratórium alatt felgyülemlett kamat ill. díj a hátralévő futamidőben esedékes törlesztőrészletekkel együtt egyenlő részletekben teljesítendő. Ennek hatására a kölcsön teljes futamideje növekszik, a törlesztés nélkül töltött időtartamánál (átlag néhány hónappal) hosszabb idővel;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lejártát követően a futamidő úgy hosszabbodik meg, hogy az esedékessé váló törlesztőrészlet és a Fizetési Moratórium alatt felhalmozott kamatok és díjak összege együttesen nem haladja meg az eredeti szerződés szerinti törlesztőrészletek összegét - vagyis a havi terhek az eredeti szinten maradnak;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amennyiben a kölcsönszerződés kamata referenciakamatlábhoz kötött, az a Moratórium alatt és azt követően változhat. Ennek eredményeképpen emelkedhet a Moratóriumot követően megállapított törlesztőrészlet is. Ez az emelkedés nem a Fizetési Moratórium alatt felhalmozódó, meg nem fizetett kamatoknak tulajdonítható;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módosult szerződést nem kell közjegyzői okiratba foglalni, emiatt nem lesz többletköltségük az ügyfeleknek. A korábbi hitelszerződésük ezen megváltozott feltételekkel marad érvényben;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Moratórium ideje alatt meg nem fizetett törlesztőrészleteknek nincsenek késedelemmel összefüggő hátrányos jogkövetkezményei, elszámolására és teljesítésére a fentiekben rögzített módon van lehetőség;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 xml:space="preserve">a fizetési Moratórium alatt lejáró szerződések 2021. október 31-éig, illetve - amennyiben ezt követően is igénybe veszi  a fizetési Moratóriumot - 2022. június 30-áig meghosszabbodnak és a Moratórium lejáratát követően  a futamidő minimum annyival </w:t>
      </w:r>
      <w:r w:rsidRPr="00F15BC9">
        <w:rPr>
          <w:rFonts w:ascii="Cambria" w:hAnsi="Cambria"/>
          <w:sz w:val="28"/>
          <w:szCs w:val="28"/>
          <w:lang w:eastAsia="hu-HU"/>
        </w:rPr>
        <w:lastRenderedPageBreak/>
        <w:t>hosszabbodik meg, amennyi a moratórium beálltakor az eredeti futamidőből még hátra volt és a felhalmozódott kamat- és díjtartozások függvényében lesz hosszabb;</w:t>
      </w:r>
    </w:p>
    <w:p w:rsidR="00D45EC9" w:rsidRPr="00F15BC9" w:rsidRDefault="00D45EC9" w:rsidP="00F15BC9">
      <w:pPr>
        <w:pStyle w:val="Nincstrkz"/>
        <w:numPr>
          <w:ilvl w:val="0"/>
          <w:numId w:val="7"/>
        </w:numPr>
        <w:jc w:val="both"/>
        <w:rPr>
          <w:rFonts w:ascii="Cambria" w:hAnsi="Cambria"/>
          <w:color w:val="FF0000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 xml:space="preserve">a Fizetési Moratórium időszaka alatti elő- és végtörlesztésre az Üzletszabályzatban foglaltak érvényesek és </w:t>
      </w:r>
      <w:r w:rsidR="00F15BC9" w:rsidRPr="00F15BC9">
        <w:rPr>
          <w:rFonts w:ascii="Cambria" w:hAnsi="Cambria"/>
          <w:color w:val="FF0000"/>
          <w:sz w:val="28"/>
          <w:szCs w:val="28"/>
          <w:lang w:eastAsia="hu-HU"/>
        </w:rPr>
        <w:t>díjmentesek a BELVÁROSI Pénzügyi Zrt-nél</w:t>
      </w:r>
      <w:r w:rsidRPr="00F15BC9">
        <w:rPr>
          <w:rFonts w:ascii="Cambria" w:hAnsi="Cambria"/>
          <w:color w:val="FF0000"/>
          <w:sz w:val="28"/>
          <w:szCs w:val="28"/>
          <w:lang w:eastAsia="hu-HU"/>
        </w:rPr>
        <w:t>;</w:t>
      </w:r>
    </w:p>
    <w:p w:rsidR="00F15BC9" w:rsidRDefault="00F15BC9" w:rsidP="00F15BC9">
      <w:pPr>
        <w:pStyle w:val="Nincstrkz"/>
        <w:jc w:val="both"/>
        <w:rPr>
          <w:rFonts w:ascii="Cambria" w:hAnsi="Cambria"/>
          <w:color w:val="FF0000"/>
          <w:sz w:val="28"/>
          <w:szCs w:val="28"/>
          <w:lang w:eastAsia="hu-HU"/>
        </w:rPr>
      </w:pPr>
    </w:p>
    <w:p w:rsidR="00F15BC9" w:rsidRPr="00F15BC9" w:rsidRDefault="00F15BC9" w:rsidP="00F15BC9">
      <w:pPr>
        <w:pStyle w:val="Nincstrkz"/>
        <w:jc w:val="both"/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</w:pPr>
      <w:r w:rsidRPr="00F15BC9">
        <w:rPr>
          <w:rFonts w:ascii="Cambria" w:hAnsi="Cambria"/>
          <w:b/>
          <w:color w:val="2E74B5" w:themeColor="accent1" w:themeShade="BF"/>
          <w:sz w:val="32"/>
          <w:szCs w:val="28"/>
          <w:lang w:eastAsia="hu-HU"/>
        </w:rPr>
        <w:t>A KÉSEDELMES FIZETÉS ÉS ADÓSSÁGRENDEZÉS</w:t>
      </w:r>
    </w:p>
    <w:p w:rsidR="00D45EC9" w:rsidRPr="00F15BC9" w:rsidRDefault="00D45EC9" w:rsidP="00F15BC9">
      <w:pPr>
        <w:pStyle w:val="Nincstrkz"/>
        <w:numPr>
          <w:ilvl w:val="0"/>
          <w:numId w:val="8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 xml:space="preserve">a </w:t>
      </w:r>
      <w:r w:rsidR="00F15BC9" w:rsidRPr="00F15BC9">
        <w:rPr>
          <w:rFonts w:ascii="Cambria" w:hAnsi="Cambria"/>
          <w:sz w:val="28"/>
          <w:szCs w:val="28"/>
          <w:lang w:eastAsia="hu-HU"/>
        </w:rPr>
        <w:t>F</w:t>
      </w:r>
      <w:r w:rsidRPr="00F15BC9">
        <w:rPr>
          <w:rFonts w:ascii="Cambria" w:hAnsi="Cambria"/>
          <w:sz w:val="28"/>
          <w:szCs w:val="28"/>
          <w:lang w:eastAsia="hu-HU"/>
        </w:rPr>
        <w:t xml:space="preserve">izetési </w:t>
      </w:r>
      <w:r w:rsidR="00F15BC9" w:rsidRPr="00F15BC9">
        <w:rPr>
          <w:rFonts w:ascii="Cambria" w:hAnsi="Cambria"/>
          <w:sz w:val="28"/>
          <w:szCs w:val="28"/>
          <w:lang w:eastAsia="hu-HU"/>
        </w:rPr>
        <w:t>M</w:t>
      </w:r>
      <w:r w:rsidRPr="00F15BC9">
        <w:rPr>
          <w:rFonts w:ascii="Cambria" w:hAnsi="Cambria"/>
          <w:sz w:val="28"/>
          <w:szCs w:val="28"/>
          <w:lang w:eastAsia="hu-HU"/>
        </w:rPr>
        <w:t>oratórium az ügyf</w:t>
      </w:r>
      <w:r w:rsidR="00F15BC9" w:rsidRPr="00F15BC9">
        <w:rPr>
          <w:rFonts w:ascii="Cambria" w:hAnsi="Cambria"/>
          <w:sz w:val="28"/>
          <w:szCs w:val="28"/>
          <w:lang w:eastAsia="hu-HU"/>
        </w:rPr>
        <w:t xml:space="preserve">elekre </w:t>
      </w:r>
      <w:r w:rsidRPr="00F15BC9">
        <w:rPr>
          <w:rFonts w:ascii="Cambria" w:hAnsi="Cambria"/>
          <w:sz w:val="28"/>
          <w:szCs w:val="28"/>
          <w:lang w:eastAsia="hu-HU"/>
        </w:rPr>
        <w:t xml:space="preserve">megállapított feltételekkel megegyezően kiterjed továbbá a természetes személyek </w:t>
      </w:r>
      <w:r w:rsidR="00F15BC9" w:rsidRPr="00F15BC9">
        <w:rPr>
          <w:rFonts w:ascii="Cambria" w:hAnsi="Cambria"/>
          <w:sz w:val="28"/>
          <w:szCs w:val="28"/>
          <w:lang w:eastAsia="hu-HU"/>
        </w:rPr>
        <w:t>adósságrendezésé</w:t>
      </w:r>
      <w:r w:rsidRPr="00F15BC9">
        <w:rPr>
          <w:rFonts w:ascii="Cambria" w:hAnsi="Cambria"/>
          <w:sz w:val="28"/>
          <w:szCs w:val="28"/>
          <w:lang w:eastAsia="hu-HU"/>
        </w:rPr>
        <w:t xml:space="preserve">ről szóló 2015. évi CV. törvényben meghatározott eljárások (Magáncsőd) alatt álló ügyfélokra, valamint az ügyfél hiteltörlesztési kötelezettségeiért helytállni köteles személyekre is. Ez esetben a fizetési haladék kiterjed a főhitelező részére fizetendő minimális törlesztőrészlet megfizetésére, a bíróságon kívüli </w:t>
      </w:r>
      <w:r w:rsidR="00F15BC9" w:rsidRPr="00F15BC9">
        <w:rPr>
          <w:rFonts w:ascii="Cambria" w:hAnsi="Cambria"/>
          <w:sz w:val="28"/>
          <w:szCs w:val="28"/>
          <w:lang w:eastAsia="hu-HU"/>
        </w:rPr>
        <w:t>adósság</w:t>
      </w:r>
      <w:r w:rsidRPr="00F15BC9">
        <w:rPr>
          <w:rFonts w:ascii="Cambria" w:hAnsi="Cambria"/>
          <w:sz w:val="28"/>
          <w:szCs w:val="28"/>
          <w:lang w:eastAsia="hu-HU"/>
        </w:rPr>
        <w:t xml:space="preserve">rendezési megállapodásban, bírósági </w:t>
      </w:r>
      <w:r w:rsidR="00F15BC9" w:rsidRPr="00F15BC9">
        <w:rPr>
          <w:rFonts w:ascii="Cambria" w:hAnsi="Cambria"/>
          <w:sz w:val="28"/>
          <w:szCs w:val="28"/>
          <w:lang w:eastAsia="hu-HU"/>
        </w:rPr>
        <w:t>adósság</w:t>
      </w:r>
      <w:r w:rsidRPr="00F15BC9">
        <w:rPr>
          <w:rFonts w:ascii="Cambria" w:hAnsi="Cambria"/>
          <w:sz w:val="28"/>
          <w:szCs w:val="28"/>
          <w:lang w:eastAsia="hu-HU"/>
        </w:rPr>
        <w:t xml:space="preserve">rendezési egyezségben, valamint a bírósági </w:t>
      </w:r>
      <w:r w:rsidR="00F15BC9" w:rsidRPr="00F15BC9">
        <w:rPr>
          <w:rFonts w:ascii="Cambria" w:hAnsi="Cambria"/>
          <w:sz w:val="28"/>
          <w:szCs w:val="28"/>
          <w:lang w:eastAsia="hu-HU"/>
        </w:rPr>
        <w:t>adósság</w:t>
      </w:r>
      <w:r w:rsidRPr="00F15BC9">
        <w:rPr>
          <w:rFonts w:ascii="Cambria" w:hAnsi="Cambria"/>
          <w:sz w:val="28"/>
          <w:szCs w:val="28"/>
          <w:lang w:eastAsia="hu-HU"/>
        </w:rPr>
        <w:t>törlesztési végzésben megállapításra kerülő vagy megállapított fizetési kötelezettségek teljesítésére is, azonban csak a 2021. január 1-je után esedékessé váló törlesztési részletekre vonatkozóan. Amennyiben ezzel kapcsolatos kérdése merül fel kérjük forduljon a főhitelezőhöz;</w:t>
      </w:r>
    </w:p>
    <w:p w:rsidR="00F15BC9" w:rsidRPr="00F15BC9" w:rsidRDefault="00D45EC9" w:rsidP="00661EBE">
      <w:pPr>
        <w:pStyle w:val="Nincstrkz"/>
        <w:numPr>
          <w:ilvl w:val="0"/>
          <w:numId w:val="8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késedelmes fizetés további jogkövetkezménye a Központi Hitelinformációs Rendszerbe (továbbiakban KHR) történő adattovábbítás. Annak jogszabályi feltételeit  a központi hitelinformációs rendszerről szóló 2011. évi CXXII. törvény (továbbiakban KHR tv.) szabályozza és a 11§-a az alábbiak szerint rendelkezik:</w:t>
      </w:r>
      <w:r w:rsidR="00F15BC9" w:rsidRPr="00F15BC9">
        <w:rPr>
          <w:rFonts w:ascii="Cambria" w:hAnsi="Cambria"/>
          <w:sz w:val="28"/>
          <w:szCs w:val="28"/>
          <w:lang w:eastAsia="hu-HU"/>
        </w:rPr>
        <w:t xml:space="preserve"> </w:t>
      </w:r>
      <w:r w:rsidRPr="00F15BC9">
        <w:rPr>
          <w:rFonts w:ascii="Cambria" w:hAnsi="Cambria"/>
          <w:sz w:val="28"/>
          <w:szCs w:val="28"/>
          <w:lang w:eastAsia="hu-HU"/>
        </w:rPr>
        <w:t>11. § (1) A referenciaadat-szolgáltató a KHR-t kezelő pénzügyi vállalkozás részére írásban átadja annak a természetes személynek a melléklet II. fejezetének 1.1-1.2 pontja szerinti referenciaadatait, aki az adatszolgáltatás tárgyát képező szerződésben vállalt fizetési kötelezettségének oly módon nem tesz eleget, hogy a lejárt és meg nem fizetett tartozásának összege meghaladja a késedelembe esés időpontjában érvényes legkisebb összegű havi minimálbért és ezen minimálbérösszeget meghaladó késedelem folyamatosan, több mint kilencven napon keresztül fennállt.</w:t>
      </w:r>
    </w:p>
    <w:p w:rsidR="00F15BC9" w:rsidRDefault="00D45EC9" w:rsidP="0013392A">
      <w:pPr>
        <w:pStyle w:val="Nincstrkz"/>
        <w:numPr>
          <w:ilvl w:val="0"/>
          <w:numId w:val="8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A fizetési moratórium ideje alatt, legkésőbb 2021. október 31. napjáig, illetve - amennyiben 2021. november 1-jétől is él  a fizetési moratóriummal - 2022. június30. napjáig az érintett Ügyfeleknek lehetőségük van a késedelmes tartozás önkéntes rendezésére, elkerülve ezzel a moratórium lejáratát követően a KHR-be történő bekerülést.</w:t>
      </w:r>
      <w:r w:rsidR="00F15BC9" w:rsidRPr="00F15BC9">
        <w:rPr>
          <w:rFonts w:ascii="Cambria" w:hAnsi="Cambria"/>
          <w:sz w:val="28"/>
          <w:szCs w:val="28"/>
          <w:lang w:eastAsia="hu-HU"/>
        </w:rPr>
        <w:t xml:space="preserve"> </w:t>
      </w:r>
      <w:r w:rsidRPr="00F15BC9">
        <w:rPr>
          <w:rFonts w:ascii="Cambria" w:hAnsi="Cambria"/>
          <w:sz w:val="28"/>
          <w:szCs w:val="28"/>
          <w:lang w:eastAsia="hu-HU"/>
        </w:rPr>
        <w:t xml:space="preserve">A fizetési moratórium lejáratát követően a késett napok számának nyilvántartása a fizetési moratórium időszakát megelőző </w:t>
      </w:r>
      <w:r w:rsidRPr="00F15BC9">
        <w:rPr>
          <w:rFonts w:ascii="Cambria" w:hAnsi="Cambria"/>
          <w:sz w:val="28"/>
          <w:szCs w:val="28"/>
          <w:lang w:eastAsia="hu-HU"/>
        </w:rPr>
        <w:lastRenderedPageBreak/>
        <w:t>módon folytatódik - amennyiben nem történik meg a lejárt tartozás visszafizetése - attól a késedelmes napszámtól, amely a fizetési moratórium kihirdetésének napján fennállt.</w:t>
      </w:r>
      <w:r w:rsidR="00F15BC9" w:rsidRPr="00F15BC9">
        <w:rPr>
          <w:rFonts w:ascii="Cambria" w:hAnsi="Cambria"/>
          <w:sz w:val="28"/>
          <w:szCs w:val="28"/>
          <w:lang w:eastAsia="hu-HU"/>
        </w:rPr>
        <w:t xml:space="preserve"> </w:t>
      </w:r>
      <w:r w:rsidRPr="00F15BC9">
        <w:rPr>
          <w:rFonts w:ascii="Cambria" w:hAnsi="Cambria"/>
          <w:sz w:val="28"/>
          <w:szCs w:val="28"/>
          <w:lang w:eastAsia="hu-HU"/>
        </w:rPr>
        <w:t>A késedelmes tartozás tényének KHR-ben történő rögzítése azt is eredményezheti, hogy az érintett Ügyfél(ok) nem, vagy csak jóval szigorúbb feltételekkel kaphat újabb hitelt, amíg szerepel a nyilvántartásban, ezért célszerű azt elkerülni.</w:t>
      </w:r>
      <w:r w:rsidR="00F15BC9" w:rsidRPr="00F15BC9">
        <w:rPr>
          <w:rFonts w:ascii="Cambria" w:hAnsi="Cambria"/>
          <w:sz w:val="28"/>
          <w:szCs w:val="28"/>
          <w:lang w:eastAsia="hu-HU"/>
        </w:rPr>
        <w:t xml:space="preserve"> </w:t>
      </w:r>
    </w:p>
    <w:p w:rsidR="00D45EC9" w:rsidRPr="00F15BC9" w:rsidRDefault="00D45EC9" w:rsidP="00D43C81">
      <w:pPr>
        <w:pStyle w:val="Nincstrkz"/>
        <w:numPr>
          <w:ilvl w:val="0"/>
          <w:numId w:val="8"/>
        </w:numPr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 </w:t>
      </w:r>
      <w:r w:rsidRPr="00F15BC9">
        <w:rPr>
          <w:rFonts w:ascii="Cambria" w:hAnsi="Cambria"/>
          <w:b/>
          <w:sz w:val="28"/>
          <w:szCs w:val="28"/>
          <w:lang w:eastAsia="hu-HU"/>
        </w:rPr>
        <w:t xml:space="preserve">A felmondott vagy végrehajtás alatt álló szerződések már nem fennálló szerződések, így ezek esetére – az előzőekben foglalt kivétellel – nem vonatkozik a </w:t>
      </w:r>
      <w:r w:rsidR="00F15BC9" w:rsidRPr="00F15BC9">
        <w:rPr>
          <w:rFonts w:ascii="Cambria" w:hAnsi="Cambria"/>
          <w:b/>
          <w:sz w:val="28"/>
          <w:szCs w:val="28"/>
          <w:lang w:eastAsia="hu-HU"/>
        </w:rPr>
        <w:t>Fizetési M</w:t>
      </w:r>
      <w:r w:rsidRPr="00F15BC9">
        <w:rPr>
          <w:rFonts w:ascii="Cambria" w:hAnsi="Cambria"/>
          <w:b/>
          <w:sz w:val="28"/>
          <w:szCs w:val="28"/>
          <w:lang w:eastAsia="hu-HU"/>
        </w:rPr>
        <w:t>oratórium</w:t>
      </w:r>
      <w:r w:rsidRPr="00F15BC9">
        <w:rPr>
          <w:rFonts w:ascii="Cambria" w:hAnsi="Cambria"/>
          <w:sz w:val="28"/>
          <w:szCs w:val="28"/>
          <w:lang w:eastAsia="hu-HU"/>
        </w:rPr>
        <w:t>. Amennyiben azonban végrehajtás van folyamatban, annak keretében az ügyfél jövedelmének (munkabér, nyugdíj) letiltására került sor, arra nem vonatkozik a moratórium. Ugyanakkor az ügyfél kérheti a végrehajtást foganatosító bíróságtól kivételesen a végrehajtás felfüggesztését, ha az ügyfél a járványügyi intézkedésekkel összefüggésben került olyan élethelyzetbe, amely méltányolható körülmény. Az ügyfél kérelméről a bíróság dönt. (2020. évi LVIII. törvény 153.§ (7) bekezdése).</w:t>
      </w:r>
      <w:r w:rsidR="00F15BC9" w:rsidRPr="00F15BC9">
        <w:rPr>
          <w:rFonts w:ascii="Cambria" w:hAnsi="Cambria"/>
          <w:sz w:val="28"/>
          <w:szCs w:val="28"/>
          <w:lang w:eastAsia="hu-HU"/>
        </w:rPr>
        <w:t xml:space="preserve"> </w:t>
      </w:r>
      <w:r w:rsidRPr="00F15BC9">
        <w:rPr>
          <w:rFonts w:ascii="Cambria" w:hAnsi="Cambria"/>
          <w:sz w:val="28"/>
          <w:szCs w:val="28"/>
          <w:lang w:eastAsia="hu-HU"/>
        </w:rPr>
        <w:t>További információkat olvashat az MNB honlapján, melynek elérhetősége </w:t>
      </w:r>
      <w:hyperlink r:id="rId8" w:history="1">
        <w:r w:rsidRPr="00F15BC9">
          <w:rPr>
            <w:rFonts w:ascii="Cambria" w:hAnsi="Cambria"/>
            <w:color w:val="0074B8"/>
            <w:sz w:val="28"/>
            <w:szCs w:val="28"/>
            <w:u w:val="single"/>
            <w:lang w:eastAsia="hu-HU"/>
          </w:rPr>
          <w:t>https://www.mnb.hu/koronavirus</w:t>
        </w:r>
      </w:hyperlink>
    </w:p>
    <w:p w:rsidR="00D45EC9" w:rsidRPr="00F15BC9" w:rsidRDefault="00D45EC9" w:rsidP="00F15BC9">
      <w:pPr>
        <w:pStyle w:val="Nincstrkz"/>
        <w:jc w:val="both"/>
        <w:rPr>
          <w:rFonts w:ascii="Cambria" w:hAnsi="Cambria"/>
          <w:sz w:val="28"/>
          <w:szCs w:val="28"/>
          <w:lang w:eastAsia="hu-HU"/>
        </w:rPr>
      </w:pPr>
      <w:r w:rsidRPr="00F15BC9">
        <w:rPr>
          <w:rFonts w:ascii="Cambria" w:hAnsi="Cambria"/>
          <w:sz w:val="28"/>
          <w:szCs w:val="28"/>
          <w:lang w:eastAsia="hu-HU"/>
        </w:rPr>
        <w:t> </w:t>
      </w:r>
    </w:p>
    <w:p w:rsidR="00D45EC9" w:rsidRDefault="00D45EC9" w:rsidP="00F15BC9">
      <w:pPr>
        <w:pStyle w:val="Nincstrkz"/>
        <w:jc w:val="both"/>
        <w:rPr>
          <w:rFonts w:ascii="Cambria" w:hAnsi="Cambria"/>
          <w:color w:val="000000"/>
          <w:sz w:val="28"/>
          <w:szCs w:val="28"/>
          <w:lang w:eastAsia="hu-HU"/>
        </w:rPr>
      </w:pPr>
    </w:p>
    <w:p w:rsidR="008112A0" w:rsidRDefault="00F15BC9" w:rsidP="008112A0">
      <w:pPr>
        <w:pStyle w:val="Nincstrkz"/>
        <w:jc w:val="center"/>
        <w:rPr>
          <w:rFonts w:ascii="Cambria" w:hAnsi="Cambria"/>
          <w:color w:val="2E74B5" w:themeColor="accent1" w:themeShade="BF"/>
          <w:sz w:val="28"/>
          <w:szCs w:val="28"/>
          <w:lang w:eastAsia="hu-HU"/>
        </w:rPr>
      </w:pPr>
      <w:r w:rsidRPr="008112A0">
        <w:rPr>
          <w:rFonts w:ascii="Cambria" w:hAnsi="Cambria"/>
          <w:color w:val="2E74B5" w:themeColor="accent1" w:themeShade="BF"/>
          <w:sz w:val="28"/>
          <w:szCs w:val="28"/>
          <w:lang w:eastAsia="hu-HU"/>
        </w:rPr>
        <w:t>Kedves Ügyfelünk</w:t>
      </w:r>
      <w:r w:rsidR="008112A0">
        <w:rPr>
          <w:rFonts w:ascii="Cambria" w:hAnsi="Cambria"/>
          <w:color w:val="2E74B5" w:themeColor="accent1" w:themeShade="BF"/>
          <w:sz w:val="28"/>
          <w:szCs w:val="28"/>
          <w:lang w:eastAsia="hu-HU"/>
        </w:rPr>
        <w:t>!</w:t>
      </w:r>
    </w:p>
    <w:p w:rsidR="008112A0" w:rsidRDefault="008112A0" w:rsidP="008112A0">
      <w:pPr>
        <w:pStyle w:val="Nincstrkz"/>
        <w:jc w:val="center"/>
        <w:rPr>
          <w:rFonts w:ascii="Cambria" w:hAnsi="Cambria"/>
          <w:color w:val="2E74B5" w:themeColor="accent1" w:themeShade="BF"/>
          <w:sz w:val="28"/>
          <w:szCs w:val="28"/>
          <w:lang w:eastAsia="hu-HU"/>
        </w:rPr>
      </w:pPr>
    </w:p>
    <w:p w:rsidR="008112A0" w:rsidRDefault="008112A0" w:rsidP="008112A0">
      <w:pPr>
        <w:pStyle w:val="Nincstrkz"/>
        <w:jc w:val="center"/>
        <w:rPr>
          <w:rFonts w:ascii="Cambria" w:hAnsi="Cambria"/>
          <w:color w:val="2E74B5" w:themeColor="accent1" w:themeShade="BF"/>
          <w:sz w:val="28"/>
          <w:szCs w:val="28"/>
          <w:lang w:eastAsia="hu-HU"/>
        </w:rPr>
      </w:pPr>
      <w:r>
        <w:rPr>
          <w:rFonts w:ascii="Cambria" w:hAnsi="Cambria"/>
          <w:color w:val="2E74B5" w:themeColor="accent1" w:themeShade="BF"/>
          <w:sz w:val="28"/>
          <w:szCs w:val="28"/>
          <w:lang w:eastAsia="hu-HU"/>
        </w:rPr>
        <w:t>J</w:t>
      </w:r>
      <w:r w:rsidR="00F15BC9" w:rsidRPr="008112A0">
        <w:rPr>
          <w:rFonts w:ascii="Cambria" w:hAnsi="Cambria"/>
          <w:color w:val="2E74B5" w:themeColor="accent1" w:themeShade="BF"/>
          <w:sz w:val="28"/>
          <w:szCs w:val="28"/>
          <w:lang w:eastAsia="hu-HU"/>
        </w:rPr>
        <w:t xml:space="preserve">avasoljuk </w:t>
      </w:r>
      <w:r>
        <w:rPr>
          <w:rFonts w:ascii="Cambria" w:hAnsi="Cambria"/>
          <w:color w:val="2E74B5" w:themeColor="accent1" w:themeShade="BF"/>
          <w:sz w:val="28"/>
          <w:szCs w:val="28"/>
          <w:lang w:eastAsia="hu-HU"/>
        </w:rPr>
        <w:t>olvassa el az MNB FRISS ÜZENETÉT is:</w:t>
      </w:r>
    </w:p>
    <w:p w:rsidR="00F15BC9" w:rsidRPr="008112A0" w:rsidRDefault="00F15BC9" w:rsidP="008112A0">
      <w:pPr>
        <w:pStyle w:val="Nincstrkz"/>
        <w:jc w:val="center"/>
        <w:rPr>
          <w:rFonts w:ascii="Cambria" w:hAnsi="Cambria"/>
          <w:color w:val="2E74B5" w:themeColor="accent1" w:themeShade="BF"/>
          <w:sz w:val="28"/>
          <w:szCs w:val="28"/>
          <w:lang w:eastAsia="hu-HU"/>
        </w:rPr>
      </w:pPr>
    </w:p>
    <w:p w:rsidR="00F15BC9" w:rsidRPr="00F15BC9" w:rsidRDefault="00F15BC9" w:rsidP="00F15BC9">
      <w:pPr>
        <w:pStyle w:val="Nincstrkz"/>
        <w:jc w:val="both"/>
        <w:rPr>
          <w:rFonts w:ascii="Cambria" w:hAnsi="Cambria"/>
          <w:color w:val="000000"/>
          <w:sz w:val="28"/>
          <w:szCs w:val="28"/>
          <w:lang w:eastAsia="hu-HU"/>
        </w:rPr>
      </w:pPr>
      <w:r>
        <w:rPr>
          <w:rFonts w:ascii="Cambria" w:hAnsi="Cambria"/>
          <w:color w:val="000000"/>
          <w:sz w:val="28"/>
          <w:szCs w:val="28"/>
          <w:lang w:eastAsia="hu-HU"/>
        </w:rPr>
        <w:t xml:space="preserve"> </w:t>
      </w:r>
    </w:p>
    <w:p w:rsidR="008112A0" w:rsidRPr="008112A0" w:rsidRDefault="008112A0" w:rsidP="008112A0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A Magyar Nemzeti Bank (MNB) által a törlesztési moratórium kapcsán küldött friss üzenet – </w:t>
      </w:r>
      <w:hyperlink r:id="rId9" w:history="1">
        <w:r w:rsidRPr="008112A0">
          <w:rPr>
            <w:rFonts w:ascii="Cambria" w:eastAsia="Times New Roman" w:hAnsi="Cambria" w:cs="Arial"/>
            <w:color w:val="0000FF"/>
            <w:sz w:val="28"/>
            <w:szCs w:val="28"/>
            <w:u w:val="single"/>
            <w:bdr w:val="none" w:sz="0" w:space="0" w:color="auto" w:frame="1"/>
            <w:lang w:eastAsia="hu-HU"/>
          </w:rPr>
          <w:t>aki anyagilag megteheti, célszerű minél hamarabb folytatnia a törlesztést</w:t>
        </w:r>
      </w:hyperlink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 – összhangban áll a fizetési stoppal kapcsolatos eddigi jegybanki kommunikációval. Az MNB az elmúlt közel másfél évben az egészségügyi, s nyomában gazdasági válsághelyzetnek megfelelő, s a fogyasztók számára anyagilag legelőnyösebb megoldást javasolta/javasolja a témában. Emellett a jegybanki fogyasztóvédelmi kommunikációja a moratóriumról nyilvánvalóan a jogalkotó által aktuálisan megszabott (esetleg hosszabbított) időkerethez és feltételekhez is kötődik.</w:t>
      </w:r>
    </w:p>
    <w:p w:rsidR="008112A0" w:rsidRPr="008112A0" w:rsidRDefault="008112A0" w:rsidP="008112A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 xml:space="preserve">A moratórium a járvány felfutó szakaszában, egészségügyi és munkalehetőség szempontjából kiszolgáltatott családok százezreinek jelentett hatékony és átmeneti válságkezelő megoldást. Igaztalanok azon sajtótámadások, amelyek most, utólag, „racionális” fejjel hibáztatják az MNB-nek és a kormányzatnak a fizetési stop igénybevételének </w:t>
      </w: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lastRenderedPageBreak/>
        <w:t>fontosságát hangsúlyozó kommunikációját egy, az elmúlt évszázadban nem tapasztalt, bizonytalan helyzetben.</w:t>
      </w:r>
    </w:p>
    <w:p w:rsidR="008112A0" w:rsidRPr="008112A0" w:rsidRDefault="008112A0" w:rsidP="008112A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A racionális lépés a járvány első jó egy évében – Magyarországon és szerte az Európai Unióban is - a moratórium bevezetése volt. A pandémia súlyosságát, a vakcinák kifejlesztését, a hatékony hazai egészségügyi válaszlépések tempóját, s mindezek alapján a lakosság jövedelmi-törlesztési helyzetének alakulását jelentős mértékű bizonytalanság övezte, így a hitelek bedőlésének megelőzése, a munkahelyek és a családok jövedelmének megtartása indokolta az adósok belépését a moratóriumba.</w:t>
      </w:r>
    </w:p>
    <w:p w:rsidR="008112A0" w:rsidRPr="008112A0" w:rsidRDefault="008112A0" w:rsidP="008112A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Mostanra viszont a járvány harmadik hullámának végével, az emelkedő átoltottsággal és gazdaság gyors újranyitásával a megfelelő jövedelemmel, törlesztési forrással bíró ügyfelek számára a moratóriumban való maradással elérhető előnyt hosszabb távon meghaladhatják a kockázatok. Az, hogy fölöslegesen nő meg a hitelük futamideje és a teljes visszafizetendő összegük a bank felé. Gondolhatunk erre az amúgy is aktuális egészségügyi hasonlatként is: egy-egy gyógyszer szükség esetén, a megfelelő időtávon hasznos és szükséges, a betegségen túlmutató időszakon történő alkalmazása viszont a hasznokat meghaladó káros mellékhatással járhat.</w:t>
      </w:r>
    </w:p>
    <w:p w:rsidR="008112A0" w:rsidRPr="008112A0" w:rsidRDefault="008112A0" w:rsidP="008112A0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Az MNB 2020 tavaszától </w:t>
      </w:r>
      <w:hyperlink r:id="rId10" w:history="1">
        <w:r w:rsidRPr="008112A0">
          <w:rPr>
            <w:rFonts w:ascii="Cambria" w:eastAsia="Times New Roman" w:hAnsi="Cambria" w:cs="Arial"/>
            <w:color w:val="0000FF"/>
            <w:sz w:val="28"/>
            <w:szCs w:val="28"/>
            <w:u w:val="single"/>
            <w:bdr w:val="none" w:sz="0" w:space="0" w:color="auto" w:frame="1"/>
            <w:lang w:eastAsia="hu-HU"/>
          </w:rPr>
          <w:t>sajtóközleményeiben</w:t>
        </w:r>
      </w:hyperlink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, a vezető médiaportálokon megjelentetett </w:t>
      </w:r>
      <w:hyperlink r:id="rId11" w:history="1">
        <w:r w:rsidRPr="008112A0">
          <w:rPr>
            <w:rFonts w:ascii="Cambria" w:eastAsia="Times New Roman" w:hAnsi="Cambria" w:cs="Arial"/>
            <w:color w:val="0000FF"/>
            <w:sz w:val="28"/>
            <w:szCs w:val="28"/>
            <w:u w:val="single"/>
            <w:bdr w:val="none" w:sz="0" w:space="0" w:color="auto" w:frame="1"/>
            <w:lang w:eastAsia="hu-HU"/>
          </w:rPr>
          <w:t>szakmai cikkeiben</w:t>
        </w:r>
      </w:hyperlink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 és honlapja </w:t>
      </w:r>
      <w:hyperlink r:id="rId12" w:anchor="lakossagi" w:history="1">
        <w:r w:rsidRPr="008112A0">
          <w:rPr>
            <w:rFonts w:ascii="Cambria" w:eastAsia="Times New Roman" w:hAnsi="Cambria" w:cs="Arial"/>
            <w:color w:val="0000FF"/>
            <w:sz w:val="28"/>
            <w:szCs w:val="28"/>
            <w:u w:val="single"/>
            <w:bdr w:val="none" w:sz="0" w:space="0" w:color="auto" w:frame="1"/>
            <w:lang w:eastAsia="hu-HU"/>
          </w:rPr>
          <w:t>Moratórium kérdések és válaszok menüpontjában</w:t>
        </w:r>
      </w:hyperlink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 (7. válasz) folyamatosan tájékoztatott arról, hogy a moratórium alatt a vissza nem fizetett hitel tőkerészére a bankok kamatot és díjat számítanak; ezek megnövelhetik a teljes futamidőt és a visszafizetendő összeget; e kamatokat és díjakat viszont nem „csapják” hozzá a tőketartozáshoz (nem lesz kamatos kamat), s a moratóriumot követő futamidő alatt egyenlő részletekben fizethető meg; illetve, hogy a törlesztés újbóli megkezdésekor az ügyfél havi terhe ugyanannyi lesz, mint a fizetési stop elrendelésekor (a változó kamatozású hitelek kamata, így törlesztőrészlete viszont módosulhat).</w:t>
      </w:r>
    </w:p>
    <w:p w:rsidR="008112A0" w:rsidRPr="008112A0" w:rsidRDefault="008112A0" w:rsidP="008112A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color w:val="22224A"/>
          <w:sz w:val="28"/>
          <w:szCs w:val="28"/>
          <w:lang w:eastAsia="hu-HU"/>
        </w:rPr>
        <w:t>A jegybank ezzel összefüggésben korábban folyamatosan visszautasította azokat a valótlan állításokat, amelyek szerint az adósok összes terhe a moratórium lejártakor „váratlanul nő majd meg”, illetve, hogy a moratóriumból kilépőknek „megugrik a törlesztőrészlete”. A lakossági adósok tartozásuk összegéről, hitelük jellemzőiről az idei év első hónapjaiban részletes írásbeli tájékoztatás kaptak bankjuktól is.</w:t>
      </w:r>
    </w:p>
    <w:p w:rsidR="008112A0" w:rsidRPr="008112A0" w:rsidRDefault="008112A0" w:rsidP="008112A0">
      <w:pPr>
        <w:shd w:val="clear" w:color="auto" w:fill="FFFFFF"/>
        <w:spacing w:beforeAutospacing="1" w:after="0" w:afterAutospacing="1" w:line="240" w:lineRule="auto"/>
        <w:jc w:val="right"/>
        <w:textAlignment w:val="baseline"/>
        <w:rPr>
          <w:rFonts w:ascii="Cambria" w:eastAsia="Times New Roman" w:hAnsi="Cambria" w:cs="Arial"/>
          <w:color w:val="22224A"/>
          <w:sz w:val="28"/>
          <w:szCs w:val="28"/>
          <w:lang w:eastAsia="hu-HU"/>
        </w:rPr>
      </w:pPr>
      <w:r w:rsidRPr="008112A0">
        <w:rPr>
          <w:rFonts w:ascii="Cambria" w:eastAsia="Times New Roman" w:hAnsi="Cambria" w:cs="Arial"/>
          <w:b/>
          <w:bCs/>
          <w:color w:val="22224A"/>
          <w:sz w:val="28"/>
          <w:szCs w:val="28"/>
          <w:bdr w:val="none" w:sz="0" w:space="0" w:color="auto" w:frame="1"/>
          <w:lang w:eastAsia="hu-HU"/>
        </w:rPr>
        <w:t>Magyar Nemzeti Bank</w:t>
      </w:r>
    </w:p>
    <w:p w:rsidR="008112A0" w:rsidRDefault="008112A0" w:rsidP="008112A0">
      <w:pPr>
        <w:pStyle w:val="Nincstrkz"/>
        <w:jc w:val="center"/>
        <w:rPr>
          <w:rFonts w:ascii="Cambria" w:hAnsi="Cambria"/>
          <w:color w:val="000000"/>
          <w:sz w:val="28"/>
          <w:szCs w:val="24"/>
          <w:lang w:eastAsia="hu-HU"/>
        </w:rPr>
      </w:pPr>
    </w:p>
    <w:sectPr w:rsidR="0081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A0" w:rsidRDefault="008112A0" w:rsidP="008112A0">
      <w:pPr>
        <w:spacing w:after="0" w:line="240" w:lineRule="auto"/>
      </w:pPr>
      <w:r>
        <w:separator/>
      </w:r>
    </w:p>
  </w:endnote>
  <w:endnote w:type="continuationSeparator" w:id="0">
    <w:p w:rsidR="008112A0" w:rsidRDefault="008112A0" w:rsidP="0081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98731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112A0" w:rsidRDefault="008112A0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4" name="Háromszög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2A0" w:rsidRDefault="008112A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8112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4" o:spid="_x0000_s1026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" adj="21600" fillcolor="#d2eaf1" stroked="f">
                  <v:textbox>
                    <w:txbxContent>
                      <w:p w:rsidR="008112A0" w:rsidRDefault="008112A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8112A0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A0" w:rsidRDefault="008112A0" w:rsidP="008112A0">
      <w:pPr>
        <w:spacing w:after="0" w:line="240" w:lineRule="auto"/>
      </w:pPr>
      <w:r>
        <w:separator/>
      </w:r>
    </w:p>
  </w:footnote>
  <w:footnote w:type="continuationSeparator" w:id="0">
    <w:p w:rsidR="008112A0" w:rsidRDefault="008112A0" w:rsidP="0081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A0" w:rsidRDefault="008112A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A8C"/>
    <w:multiLevelType w:val="multilevel"/>
    <w:tmpl w:val="9E84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F3675"/>
    <w:multiLevelType w:val="multilevel"/>
    <w:tmpl w:val="DF7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832F1"/>
    <w:multiLevelType w:val="multilevel"/>
    <w:tmpl w:val="254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360D4"/>
    <w:multiLevelType w:val="hybridMultilevel"/>
    <w:tmpl w:val="E56E6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7272"/>
    <w:multiLevelType w:val="hybridMultilevel"/>
    <w:tmpl w:val="70B8D6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D4904"/>
    <w:multiLevelType w:val="multilevel"/>
    <w:tmpl w:val="E7B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52EC8"/>
    <w:multiLevelType w:val="hybridMultilevel"/>
    <w:tmpl w:val="B3F2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40A25"/>
    <w:multiLevelType w:val="hybridMultilevel"/>
    <w:tmpl w:val="324C1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C9"/>
    <w:rsid w:val="003908E7"/>
    <w:rsid w:val="008112A0"/>
    <w:rsid w:val="00D45EC9"/>
    <w:rsid w:val="00F1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B65545"/>
  <w15:chartTrackingRefBased/>
  <w15:docId w15:val="{C677C28B-809E-41BB-AF92-182C74E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D45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D45E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45E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D45EC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45EC9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45EC9"/>
    <w:rPr>
      <w:b/>
      <w:bCs/>
    </w:rPr>
  </w:style>
  <w:style w:type="paragraph" w:styleId="Listaszerbekezds">
    <w:name w:val="List Paragraph"/>
    <w:basedOn w:val="Norml"/>
    <w:uiPriority w:val="34"/>
    <w:qFormat/>
    <w:rsid w:val="00D45EC9"/>
    <w:pPr>
      <w:ind w:left="720"/>
      <w:contextualSpacing/>
    </w:pPr>
  </w:style>
  <w:style w:type="paragraph" w:styleId="Nincstrkz">
    <w:name w:val="No Spacing"/>
    <w:uiPriority w:val="1"/>
    <w:qFormat/>
    <w:rsid w:val="00F15B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1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12A0"/>
  </w:style>
  <w:style w:type="paragraph" w:styleId="llb">
    <w:name w:val="footer"/>
    <w:basedOn w:val="Norml"/>
    <w:link w:val="llbChar"/>
    <w:uiPriority w:val="99"/>
    <w:unhideWhenUsed/>
    <w:rsid w:val="0081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20206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5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0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0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1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4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4661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5537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8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0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0729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567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043774">
                              <w:marLeft w:val="-225"/>
                              <w:marRight w:val="-225"/>
                              <w:marTop w:val="675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0206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8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b.hu/koronaviru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nb.hu/koronaviru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nb.hu/letoltes/almasi-adrienn-szakacs-janos-mi-tortenik-a-hitelekkel-a-moratorium-utan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nb.hu/sajtoszoba/sajtokozlemenyek/2020-evi-sajtokozlemenyek/a-fizetesi-moratorium-miatt-nem-nohet-a-havi-torlesztes-osszeg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nb.hu/sajtoszoba/sajtokozlemenyek/2021-evi-sajtokozlemenyek/moratorium-aki-teheti-celszeru-mihamarabb-folytatnia-a-torleszte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1711</Words>
  <Characters>11808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Fazekas</dc:creator>
  <cp:keywords/>
  <dc:description/>
  <cp:lastModifiedBy>Bernadett Fazekas</cp:lastModifiedBy>
  <cp:revision>1</cp:revision>
  <dcterms:created xsi:type="dcterms:W3CDTF">2021-09-24T11:06:00Z</dcterms:created>
  <dcterms:modified xsi:type="dcterms:W3CDTF">2021-09-24T11:36:00Z</dcterms:modified>
</cp:coreProperties>
</file>